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3A6F93"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886F17" w:rsidRDefault="00886F17">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3A6F93"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886F17" w:rsidRDefault="00886F17"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3A6F93"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886F17" w:rsidRPr="00E41D04" w:rsidRDefault="00886F17"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886F17" w:rsidRDefault="00886F17">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3A6F93" w:rsidP="00DE7992">
      <w:pPr>
        <w:rPr>
          <w:rFonts w:asciiTheme="minorHAnsi" w:hAnsiTheme="minorHAnsi"/>
          <w:i/>
        </w:rPr>
      </w:pPr>
      <w:r w:rsidRPr="003A6F93">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886F17" w:rsidRPr="00E41D04" w:rsidRDefault="00886F17">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3A6F93">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3A6F93">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3A6F93"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3A6F93"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3A6F93"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3A6F93">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3A6F93">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3A6F93">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3A6F93">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3A6F93">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3A6F93"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886F17" w:rsidRPr="00477C64" w:rsidRDefault="00886F17"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886F17" w:rsidRPr="00D83A90" w:rsidRDefault="00886F17"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886F17" w:rsidRPr="00E41D04" w:rsidRDefault="00886F17"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886F17" w:rsidRPr="004D2F99" w:rsidRDefault="00886F17">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886F17" w:rsidRDefault="00886F17">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3A6F93"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3A6F93"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886F17" w:rsidRDefault="00886F17"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3A6F93"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886F17" w:rsidRDefault="00886F17"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3A6F93"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886F17" w:rsidRDefault="00886F17"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3A6F93"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886F17" w:rsidRDefault="00886F17"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3A6F93"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886F17" w:rsidRDefault="00886F17"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3A6F93"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886F17" w:rsidRDefault="00886F17"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3A6F93"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886F17" w:rsidRDefault="00886F17"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w:t>
      </w:r>
      <w:r w:rsidRPr="004775A7">
        <w:rPr>
          <w:rFonts w:asciiTheme="minorHAnsi" w:hAnsiTheme="minorHAnsi" w:cs="Arial"/>
          <w:i/>
          <w:color w:val="2B2B2B"/>
          <w:sz w:val="22"/>
          <w:szCs w:val="22"/>
        </w:rPr>
        <w:lastRenderedPageBreak/>
        <w:t>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3A6F93"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886F17" w:rsidRDefault="00886F17"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0441B7"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3A6F93"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886F17" w:rsidRDefault="00886F17"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003A6F93">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886F17" w:rsidRDefault="00886F17" w:rsidP="00DC7F8A">
                  <w:r>
                    <w:t xml:space="preserve">  POZNÁMKY</w:t>
                  </w:r>
                </w:p>
              </w:txbxContent>
            </v:textbox>
          </v:shape>
        </w:pict>
      </w:r>
      <w:r w:rsidR="003A6F93">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3A6F93"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886F17" w:rsidRDefault="00886F17"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3A6F93" w:rsidP="003B7168">
      <w:pPr>
        <w:jc w:val="both"/>
        <w:textAlignment w:val="baseline"/>
        <w:rPr>
          <w:rFonts w:asciiTheme="minorHAnsi" w:eastAsia="Times New Roman" w:hAnsiTheme="minorHAnsi" w:cs="Arial"/>
          <w:b/>
          <w:i/>
          <w:color w:val="2B2B2B"/>
          <w:lang w:eastAsia="cs-CZ"/>
        </w:rPr>
      </w:pPr>
      <w:r w:rsidRPr="003A6F93">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886F17" w:rsidRDefault="00886F17" w:rsidP="00DC7F8A">
                  <w:r>
                    <w:t xml:space="preserve">  POZNÁMKY</w:t>
                  </w:r>
                </w:p>
              </w:txbxContent>
            </v:textbox>
          </v:shape>
        </w:pict>
      </w:r>
      <w:r w:rsidRPr="003A6F93">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3A6F93"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886F17" w:rsidRDefault="00886F17"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3A6F93"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886F17" w:rsidRDefault="00886F17"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3A6F93"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886F17" w:rsidRDefault="00886F17"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3A6F93"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886F17" w:rsidRDefault="00886F17"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3A6F93" w:rsidP="00E74AB0">
      <w:pPr>
        <w:pStyle w:val="Normlnweb"/>
        <w:textAlignment w:val="baseline"/>
        <w:rPr>
          <w:rFonts w:asciiTheme="minorHAnsi" w:hAnsiTheme="minorHAnsi" w:cs="Arial"/>
          <w:i/>
          <w:color w:val="2B2B2B"/>
          <w:sz w:val="22"/>
          <w:szCs w:val="22"/>
        </w:rPr>
      </w:pPr>
      <w:r w:rsidRPr="003A6F93">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886F17" w:rsidRDefault="00886F17" w:rsidP="00DC110F">
                  <w:r>
                    <w:t xml:space="preserve">  POZNÁMKY</w:t>
                  </w:r>
                </w:p>
              </w:txbxContent>
            </v:textbox>
          </v:shape>
        </w:pict>
      </w:r>
      <w:r w:rsidRPr="003A6F93">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3A6F93"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886F17" w:rsidRDefault="00886F17"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3A6F93"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886F17" w:rsidRDefault="00886F17"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3A6F93"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3A6F93"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3A6F93">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886F17" w:rsidRDefault="00886F17"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3A6F93"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886F17" w:rsidRDefault="00886F17"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3A6F93"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886F17" w:rsidRDefault="00886F17"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3A6F93"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886F17" w:rsidRDefault="00886F17"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3A6F93" w:rsidP="00E74AB0">
      <w:pPr>
        <w:pStyle w:val="Normlnweb"/>
        <w:textAlignment w:val="baseline"/>
        <w:rPr>
          <w:rFonts w:asciiTheme="minorHAnsi" w:hAnsiTheme="minorHAnsi" w:cs="Arial"/>
          <w:i/>
          <w:color w:val="2B2B2B"/>
          <w:sz w:val="22"/>
          <w:szCs w:val="22"/>
        </w:rPr>
      </w:pPr>
      <w:r w:rsidRPr="003A6F93">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3A6F93">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886F17" w:rsidRDefault="00886F17"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3A6F93"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886F17" w:rsidRDefault="00886F17"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3A6F93"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886F17" w:rsidRDefault="00886F17"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3A6F93"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3A6F93">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3A6F93"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886F17" w:rsidRDefault="00886F17"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3A6F93"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3A6F93"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886F17" w:rsidRDefault="00886F17"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3A6F93"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886F17" w:rsidRDefault="00886F17"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3A6F93" w:rsidP="00E74AB0">
      <w:pPr>
        <w:pStyle w:val="Normlnweb"/>
        <w:textAlignment w:val="baseline"/>
        <w:rPr>
          <w:rFonts w:asciiTheme="minorHAnsi" w:hAnsiTheme="minorHAnsi" w:cs="Arial"/>
          <w:i/>
          <w:color w:val="2B2B2B"/>
          <w:sz w:val="22"/>
          <w:szCs w:val="22"/>
        </w:rPr>
      </w:pPr>
      <w:r w:rsidRPr="003A6F93">
        <w:rPr>
          <w:i/>
          <w:noProof/>
          <w:color w:val="2B2B2B"/>
        </w:rPr>
        <w:lastRenderedPageBreak/>
        <w:pict>
          <v:shape id="_x0000_s1197" type="#_x0000_t32" style="position:absolute;margin-left:393.2pt;margin-top:4.8pt;width:3.25pt;height:733.3pt;z-index:251798528" o:connectortype="straight"/>
        </w:pict>
      </w:r>
      <w:r w:rsidRPr="003A6F93">
        <w:rPr>
          <w:b/>
          <w:i/>
          <w:noProof/>
          <w:color w:val="2B2B2B"/>
          <w:u w:val="single"/>
        </w:rPr>
        <w:pict>
          <v:shape id="_x0000_s1200" type="#_x0000_t202" style="position:absolute;margin-left:417.8pt;margin-top:21.45pt;width:78.9pt;height:25.65pt;z-index:251801600">
            <v:textbox style="mso-next-textbox:#_x0000_s1200">
              <w:txbxContent>
                <w:p w:rsidR="00886F17" w:rsidRDefault="00886F17"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3A6F93"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3A6F93"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886F17" w:rsidRDefault="00886F17"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3A6F93"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886F17" w:rsidRDefault="00886F17"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0441B7" w:rsidP="00E74AB0">
      <w:pPr>
        <w:pStyle w:val="Normlnweb"/>
        <w:textAlignment w:val="baseline"/>
        <w:rPr>
          <w:rFonts w:asciiTheme="minorHAnsi" w:hAnsiTheme="minorHAnsi" w:cs="Arial"/>
          <w:i/>
          <w:color w:val="2B2B2B"/>
          <w:sz w:val="22"/>
          <w:szCs w:val="22"/>
        </w:rPr>
      </w:pPr>
      <w:r>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0441B7" w:rsidRDefault="000441B7" w:rsidP="000441B7">
                  <w:r>
                    <w:t xml:space="preserve">  POZNÁMKY</w:t>
                  </w:r>
                </w:p>
              </w:txbxContent>
            </v:textbox>
          </v:shape>
        </w:pict>
      </w:r>
      <w:r w:rsidR="003A6F93" w:rsidRPr="003A6F93">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w:t>
      </w:r>
      <w:proofErr w:type="gramStart"/>
      <w:r w:rsidRPr="004E3C95">
        <w:rPr>
          <w:i/>
          <w:color w:val="2B2B2B"/>
          <w:sz w:val="22"/>
          <w:szCs w:val="22"/>
        </w:rPr>
        <w:t xml:space="preserve">DARY </w:t>
      </w:r>
      <w:r w:rsidR="004E3C95">
        <w:rPr>
          <w:i/>
          <w:color w:val="2B2B2B"/>
          <w:sz w:val="22"/>
          <w:szCs w:val="22"/>
        </w:rPr>
        <w:t xml:space="preserve"> </w:t>
      </w:r>
      <w:r w:rsidRPr="004E3C95">
        <w:rPr>
          <w:i/>
          <w:color w:val="2B2B2B"/>
          <w:sz w:val="22"/>
          <w:szCs w:val="22"/>
        </w:rPr>
        <w:t>DUCHA</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w:t>
      </w:r>
      <w:proofErr w:type="gramStart"/>
      <w:r w:rsidRPr="004E3C95">
        <w:rPr>
          <w:rFonts w:ascii="Times New Roman" w:hAnsi="Times New Roman"/>
          <w:i/>
        </w:rPr>
        <w:t>Egyptem</w:t>
      </w:r>
      <w:proofErr w:type="gramEnd"/>
      <w:r w:rsidRPr="004E3C95">
        <w:rPr>
          <w:rFonts w:ascii="Times New Roman" w:hAnsi="Times New Roman"/>
          <w:i/>
        </w:rPr>
        <w:t>,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0441B7"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0441B7" w:rsidRDefault="000441B7" w:rsidP="000441B7">
                  <w:r>
                    <w:t xml:space="preserve">  POZNÁMKY</w:t>
                  </w:r>
                </w:p>
              </w:txbxContent>
            </v:textbox>
          </v:shape>
        </w:pict>
      </w:r>
      <w:r w:rsidR="003A6F93">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w:t>
      </w:r>
      <w:proofErr w:type="gramStart"/>
      <w:r w:rsidRPr="004E3C95">
        <w:rPr>
          <w:rFonts w:ascii="Times New Roman" w:hAnsi="Times New Roman"/>
          <w:i/>
        </w:rPr>
        <w:t>výmluvnost),... . Ty</w:t>
      </w:r>
      <w:proofErr w:type="gramEnd"/>
      <w:r w:rsidRPr="004E3C95">
        <w:rPr>
          <w:rFonts w:ascii="Times New Roman" w:hAnsi="Times New Roman"/>
          <w:i/>
        </w:rPr>
        <w:t xml:space="preserve">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0441B7"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0441B7" w:rsidRDefault="000441B7" w:rsidP="000441B7">
                  <w:r>
                    <w:t xml:space="preserve">  POZNÁMKY</w:t>
                  </w:r>
                </w:p>
              </w:txbxContent>
            </v:textbox>
          </v:shape>
        </w:pict>
      </w:r>
      <w:r w:rsidR="003A6F93">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 xml:space="preserve">Dnes se již na to tak netlačí jako v době, kdy jsem uvěřil. Aspoň ne veřejně </w:t>
      </w:r>
      <w:proofErr w:type="gramStart"/>
      <w:r w:rsidR="004E3C95" w:rsidRPr="004E3C95">
        <w:rPr>
          <w:rFonts w:ascii="Times New Roman" w:hAnsi="Times New Roman"/>
          <w:i/>
        </w:rPr>
        <w:t>na</w:t>
      </w:r>
      <w:proofErr w:type="gramEnd"/>
      <w:r w:rsidR="004E3C95" w:rsidRPr="004E3C95">
        <w:rPr>
          <w:rFonts w:ascii="Times New Roman" w:hAnsi="Times New Roman"/>
          <w:i/>
        </w:rPr>
        <w:t xml:space="preserve"> </w:t>
      </w:r>
    </w:p>
    <w:p w:rsidR="00DF7AF9" w:rsidRDefault="00DF7AF9" w:rsidP="004E3C95">
      <w:pPr>
        <w:spacing w:after="0"/>
        <w:jc w:val="both"/>
        <w:rPr>
          <w:rFonts w:ascii="Times New Roman" w:hAnsi="Times New Roman"/>
          <w:i/>
        </w:rPr>
      </w:pPr>
    </w:p>
    <w:p w:rsidR="00DF7AF9" w:rsidRDefault="000441B7" w:rsidP="004E3C95">
      <w:pPr>
        <w:spacing w:after="0"/>
        <w:jc w:val="both"/>
        <w:rPr>
          <w:rFonts w:ascii="Times New Roman" w:hAnsi="Times New Roman"/>
          <w:i/>
        </w:rPr>
      </w:pPr>
      <w:r>
        <w:rPr>
          <w:rFonts w:ascii="Times New Roman" w:hAnsi="Times New Roman"/>
          <w:i/>
          <w:noProof/>
          <w:lang w:eastAsia="cs-CZ"/>
        </w:rPr>
        <w:lastRenderedPageBreak/>
        <w:pict>
          <v:shape id="_x0000_s1212" type="#_x0000_t202" style="position:absolute;left:0;text-align:left;margin-left:419.3pt;margin-top:11.7pt;width:78.9pt;height:25.65pt;z-index:251811840">
            <v:textbox style="mso-next-textbox:#_x0000_s1212">
              <w:txbxContent>
                <w:p w:rsidR="000441B7" w:rsidRDefault="000441B7" w:rsidP="000441B7">
                  <w:r>
                    <w:t xml:space="preserve">  POZNÁMKY</w:t>
                  </w:r>
                </w:p>
              </w:txbxContent>
            </v:textbox>
          </v:shape>
        </w:pict>
      </w:r>
    </w:p>
    <w:p w:rsidR="004E3C95" w:rsidRPr="004E3C95" w:rsidRDefault="003A6F93" w:rsidP="004E3C95">
      <w:pPr>
        <w:spacing w:after="0"/>
        <w:jc w:val="both"/>
        <w:rPr>
          <w:rFonts w:ascii="Times New Roman" w:hAnsi="Times New Roman"/>
          <w:i/>
        </w:rPr>
      </w:pP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Uvedu příklad: někdo vždy svazuje mocnosti, vyhání démony, jiný vyznává svobodu ve jménu Ježíš a Boží slovo, někdo je puzen Duchem ke křiku, jiný k tichosti, někdo má zvláštní projevy (pláč, sténání, </w:t>
      </w:r>
      <w:proofErr w:type="gramStart"/>
      <w:r w:rsidRPr="004E3C95">
        <w:rPr>
          <w:rFonts w:ascii="Times New Roman" w:hAnsi="Times New Roman"/>
          <w:i/>
        </w:rPr>
        <w:t>smích,...).</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w:t>
      </w:r>
      <w:proofErr w:type="gramStart"/>
      <w:r w:rsidRPr="004E3C95">
        <w:rPr>
          <w:rFonts w:ascii="Times New Roman" w:hAnsi="Times New Roman"/>
          <w:i/>
        </w:rPr>
        <w:t>Hospodinovy.´</w:t>
      </w:r>
      <w:proofErr w:type="gramEnd"/>
      <w:r w:rsidRPr="004E3C95">
        <w:rPr>
          <w:rFonts w:ascii="Times New Roman" w:hAnsi="Times New Roman"/>
          <w:i/>
        </w:rPr>
        <w:t xml:space="preserve">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w:t>
      </w:r>
      <w:proofErr w:type="gramStart"/>
      <w:r w:rsidRPr="003716B3">
        <w:rPr>
          <w:rFonts w:ascii="Times New Roman" w:hAnsi="Times New Roman"/>
          <w:i/>
        </w:rPr>
        <w:t>Lukáš</w:t>
      </w:r>
      <w:proofErr w:type="gramEnd"/>
      <w:r w:rsidRPr="003716B3">
        <w:rPr>
          <w:rFonts w:ascii="Times New Roman" w:hAnsi="Times New Roman"/>
          <w:i/>
        </w:rPr>
        <w:t xml:space="preserve">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886F17" w:rsidRPr="000441B7"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w:t>
      </w:r>
      <w:proofErr w:type="gramStart"/>
      <w:r w:rsidRPr="004E3C95">
        <w:rPr>
          <w:rFonts w:ascii="Times New Roman" w:hAnsi="Times New Roman"/>
          <w:i/>
        </w:rPr>
        <w:t>mnou....</w:t>
      </w:r>
      <w:proofErr w:type="gramEnd"/>
      <w:r w:rsidRPr="004E3C95">
        <w:rPr>
          <w:rFonts w:ascii="Times New Roman" w:hAnsi="Times New Roman"/>
          <w:i/>
        </w:rPr>
        <w:t>“, vždyť zde je všechno, co nám, Ježíš říká, že máme dělat</w:t>
      </w:r>
      <w:r>
        <w:rPr>
          <w:rFonts w:ascii="Times New Roman" w:hAnsi="Times New Roman"/>
        </w:rPr>
        <w:t>.</w:t>
      </w:r>
      <w:r w:rsidR="00886F17">
        <w:rPr>
          <w:lang w:eastAsia="cs-CZ"/>
        </w:rPr>
        <w:tab/>
      </w:r>
    </w:p>
    <w:sectPr w:rsidR="00886F17" w:rsidRPr="000441B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69" w:rsidRDefault="006E0969" w:rsidP="00D738EB">
      <w:pPr>
        <w:spacing w:after="0" w:line="240" w:lineRule="auto"/>
      </w:pPr>
      <w:r>
        <w:separator/>
      </w:r>
    </w:p>
  </w:endnote>
  <w:endnote w:type="continuationSeparator" w:id="0">
    <w:p w:rsidR="006E0969" w:rsidRDefault="006E0969"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17" w:rsidRPr="00D738EB" w:rsidRDefault="00886F17"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0441B7" w:rsidRPr="000441B7">
        <w:rPr>
          <w:rFonts w:ascii="Cambria" w:hAnsi="Cambria"/>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69" w:rsidRDefault="006E0969" w:rsidP="00D738EB">
      <w:pPr>
        <w:spacing w:after="0" w:line="240" w:lineRule="auto"/>
      </w:pPr>
      <w:r>
        <w:separator/>
      </w:r>
    </w:p>
  </w:footnote>
  <w:footnote w:type="continuationSeparator" w:id="0">
    <w:p w:rsidR="006E0969" w:rsidRDefault="006E0969"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7"/>
  </w:num>
  <w:num w:numId="3">
    <w:abstractNumId w:val="24"/>
  </w:num>
  <w:num w:numId="4">
    <w:abstractNumId w:val="23"/>
  </w:num>
  <w:num w:numId="5">
    <w:abstractNumId w:val="31"/>
  </w:num>
  <w:num w:numId="6">
    <w:abstractNumId w:val="28"/>
  </w:num>
  <w:num w:numId="7">
    <w:abstractNumId w:val="4"/>
  </w:num>
  <w:num w:numId="8">
    <w:abstractNumId w:val="18"/>
  </w:num>
  <w:num w:numId="9">
    <w:abstractNumId w:val="9"/>
  </w:num>
  <w:num w:numId="10">
    <w:abstractNumId w:val="32"/>
  </w:num>
  <w:num w:numId="11">
    <w:abstractNumId w:val="6"/>
  </w:num>
  <w:num w:numId="12">
    <w:abstractNumId w:val="10"/>
  </w:num>
  <w:num w:numId="13">
    <w:abstractNumId w:val="17"/>
  </w:num>
  <w:num w:numId="14">
    <w:abstractNumId w:val="21"/>
  </w:num>
  <w:num w:numId="15">
    <w:abstractNumId w:val="8"/>
  </w:num>
  <w:num w:numId="16">
    <w:abstractNumId w:val="22"/>
  </w:num>
  <w:num w:numId="17">
    <w:abstractNumId w:val="16"/>
  </w:num>
  <w:num w:numId="18">
    <w:abstractNumId w:val="2"/>
  </w:num>
  <w:num w:numId="19">
    <w:abstractNumId w:val="20"/>
  </w:num>
  <w:num w:numId="20">
    <w:abstractNumId w:val="19"/>
  </w:num>
  <w:num w:numId="21">
    <w:abstractNumId w:val="5"/>
  </w:num>
  <w:num w:numId="22">
    <w:abstractNumId w:val="33"/>
  </w:num>
  <w:num w:numId="23">
    <w:abstractNumId w:val="15"/>
  </w:num>
  <w:num w:numId="24">
    <w:abstractNumId w:val="13"/>
  </w:num>
  <w:num w:numId="25">
    <w:abstractNumId w:val="12"/>
  </w:num>
  <w:num w:numId="26">
    <w:abstractNumId w:val="11"/>
  </w:num>
  <w:num w:numId="27">
    <w:abstractNumId w:val="29"/>
  </w:num>
  <w:num w:numId="28">
    <w:abstractNumId w:val="30"/>
  </w:num>
  <w:num w:numId="29">
    <w:abstractNumId w:val="27"/>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41B7"/>
    <w:rsid w:val="000719B6"/>
    <w:rsid w:val="00071ECB"/>
    <w:rsid w:val="00076FFB"/>
    <w:rsid w:val="000B1653"/>
    <w:rsid w:val="000C5E67"/>
    <w:rsid w:val="000D103B"/>
    <w:rsid w:val="000D240C"/>
    <w:rsid w:val="000D3A37"/>
    <w:rsid w:val="000E5392"/>
    <w:rsid w:val="000E7FCA"/>
    <w:rsid w:val="00110289"/>
    <w:rsid w:val="00112427"/>
    <w:rsid w:val="00115179"/>
    <w:rsid w:val="00115463"/>
    <w:rsid w:val="001513F8"/>
    <w:rsid w:val="00154AF6"/>
    <w:rsid w:val="001570F2"/>
    <w:rsid w:val="001653DB"/>
    <w:rsid w:val="00197D2F"/>
    <w:rsid w:val="001A165F"/>
    <w:rsid w:val="001A28D0"/>
    <w:rsid w:val="001B1BAE"/>
    <w:rsid w:val="001C0A4E"/>
    <w:rsid w:val="001D4945"/>
    <w:rsid w:val="001E2595"/>
    <w:rsid w:val="001E4DC1"/>
    <w:rsid w:val="001E55FA"/>
    <w:rsid w:val="001E5B2A"/>
    <w:rsid w:val="001F42FC"/>
    <w:rsid w:val="00225B2A"/>
    <w:rsid w:val="00232412"/>
    <w:rsid w:val="002330E2"/>
    <w:rsid w:val="00233D98"/>
    <w:rsid w:val="00271EF7"/>
    <w:rsid w:val="002728FB"/>
    <w:rsid w:val="0027687C"/>
    <w:rsid w:val="002842C5"/>
    <w:rsid w:val="002D57DC"/>
    <w:rsid w:val="002D5C85"/>
    <w:rsid w:val="002D7BC1"/>
    <w:rsid w:val="002E612A"/>
    <w:rsid w:val="002F58B8"/>
    <w:rsid w:val="0030369D"/>
    <w:rsid w:val="00352FE4"/>
    <w:rsid w:val="00360263"/>
    <w:rsid w:val="0036696C"/>
    <w:rsid w:val="003716B3"/>
    <w:rsid w:val="00383677"/>
    <w:rsid w:val="003A6F93"/>
    <w:rsid w:val="003B52E4"/>
    <w:rsid w:val="003B7168"/>
    <w:rsid w:val="003C7251"/>
    <w:rsid w:val="003D57C2"/>
    <w:rsid w:val="003E0412"/>
    <w:rsid w:val="003E71B1"/>
    <w:rsid w:val="003F4C09"/>
    <w:rsid w:val="00403634"/>
    <w:rsid w:val="0040494A"/>
    <w:rsid w:val="00414BC7"/>
    <w:rsid w:val="004157DE"/>
    <w:rsid w:val="00443D98"/>
    <w:rsid w:val="00455141"/>
    <w:rsid w:val="0045578E"/>
    <w:rsid w:val="004775A7"/>
    <w:rsid w:val="004776F2"/>
    <w:rsid w:val="00477C64"/>
    <w:rsid w:val="00483FAC"/>
    <w:rsid w:val="004867AC"/>
    <w:rsid w:val="004C2C9A"/>
    <w:rsid w:val="004D2F99"/>
    <w:rsid w:val="004D5952"/>
    <w:rsid w:val="004E3C95"/>
    <w:rsid w:val="00525202"/>
    <w:rsid w:val="00553047"/>
    <w:rsid w:val="00566841"/>
    <w:rsid w:val="005903D1"/>
    <w:rsid w:val="005A1C7D"/>
    <w:rsid w:val="005A7F30"/>
    <w:rsid w:val="005C1104"/>
    <w:rsid w:val="006027E5"/>
    <w:rsid w:val="0060388A"/>
    <w:rsid w:val="006068BA"/>
    <w:rsid w:val="00623527"/>
    <w:rsid w:val="0063052C"/>
    <w:rsid w:val="00635DB2"/>
    <w:rsid w:val="00643056"/>
    <w:rsid w:val="0064489E"/>
    <w:rsid w:val="006A3A5B"/>
    <w:rsid w:val="006A5FA4"/>
    <w:rsid w:val="006B3AC9"/>
    <w:rsid w:val="006C49E6"/>
    <w:rsid w:val="006C72FB"/>
    <w:rsid w:val="006D04B4"/>
    <w:rsid w:val="006D4876"/>
    <w:rsid w:val="006D6887"/>
    <w:rsid w:val="006E0969"/>
    <w:rsid w:val="006F136E"/>
    <w:rsid w:val="006F79CA"/>
    <w:rsid w:val="0072139A"/>
    <w:rsid w:val="00742DCC"/>
    <w:rsid w:val="00747B83"/>
    <w:rsid w:val="00764562"/>
    <w:rsid w:val="00765890"/>
    <w:rsid w:val="007831F5"/>
    <w:rsid w:val="00792373"/>
    <w:rsid w:val="007A0551"/>
    <w:rsid w:val="007B54E4"/>
    <w:rsid w:val="007C194F"/>
    <w:rsid w:val="007D251D"/>
    <w:rsid w:val="007E1126"/>
    <w:rsid w:val="00845AC9"/>
    <w:rsid w:val="00852206"/>
    <w:rsid w:val="008522B5"/>
    <w:rsid w:val="00861F6B"/>
    <w:rsid w:val="0087199D"/>
    <w:rsid w:val="00872E35"/>
    <w:rsid w:val="00886F17"/>
    <w:rsid w:val="00891E3E"/>
    <w:rsid w:val="00893569"/>
    <w:rsid w:val="008A3254"/>
    <w:rsid w:val="008F1B08"/>
    <w:rsid w:val="00900479"/>
    <w:rsid w:val="009118A7"/>
    <w:rsid w:val="009161E8"/>
    <w:rsid w:val="00916A5F"/>
    <w:rsid w:val="00935DA9"/>
    <w:rsid w:val="009450B9"/>
    <w:rsid w:val="00952AE1"/>
    <w:rsid w:val="00957701"/>
    <w:rsid w:val="00973211"/>
    <w:rsid w:val="00975966"/>
    <w:rsid w:val="009875B6"/>
    <w:rsid w:val="009A22A4"/>
    <w:rsid w:val="009D4897"/>
    <w:rsid w:val="009E41E5"/>
    <w:rsid w:val="009E4798"/>
    <w:rsid w:val="00A00D1A"/>
    <w:rsid w:val="00A149FE"/>
    <w:rsid w:val="00A15F58"/>
    <w:rsid w:val="00A1782E"/>
    <w:rsid w:val="00A40C07"/>
    <w:rsid w:val="00A44AA2"/>
    <w:rsid w:val="00A707B1"/>
    <w:rsid w:val="00A83D3E"/>
    <w:rsid w:val="00AA03AD"/>
    <w:rsid w:val="00AB6B30"/>
    <w:rsid w:val="00AC5307"/>
    <w:rsid w:val="00AE0AA5"/>
    <w:rsid w:val="00B04EE7"/>
    <w:rsid w:val="00B15CBD"/>
    <w:rsid w:val="00B22308"/>
    <w:rsid w:val="00B22AB2"/>
    <w:rsid w:val="00B324D3"/>
    <w:rsid w:val="00B404D7"/>
    <w:rsid w:val="00B462A1"/>
    <w:rsid w:val="00B64362"/>
    <w:rsid w:val="00B66F01"/>
    <w:rsid w:val="00B74CFB"/>
    <w:rsid w:val="00B76F75"/>
    <w:rsid w:val="00B81B3C"/>
    <w:rsid w:val="00B85120"/>
    <w:rsid w:val="00BA3791"/>
    <w:rsid w:val="00BB3A9B"/>
    <w:rsid w:val="00BC6161"/>
    <w:rsid w:val="00BF05AF"/>
    <w:rsid w:val="00BF2E2C"/>
    <w:rsid w:val="00BF627A"/>
    <w:rsid w:val="00C03124"/>
    <w:rsid w:val="00C105AA"/>
    <w:rsid w:val="00C37DAB"/>
    <w:rsid w:val="00C553CE"/>
    <w:rsid w:val="00C81039"/>
    <w:rsid w:val="00C82C18"/>
    <w:rsid w:val="00C857A3"/>
    <w:rsid w:val="00CD0709"/>
    <w:rsid w:val="00CE49A0"/>
    <w:rsid w:val="00CF1B27"/>
    <w:rsid w:val="00CF27BD"/>
    <w:rsid w:val="00CF3365"/>
    <w:rsid w:val="00CF6300"/>
    <w:rsid w:val="00D124EE"/>
    <w:rsid w:val="00D2061B"/>
    <w:rsid w:val="00D22EE9"/>
    <w:rsid w:val="00D231BC"/>
    <w:rsid w:val="00D258EF"/>
    <w:rsid w:val="00D3385A"/>
    <w:rsid w:val="00D55983"/>
    <w:rsid w:val="00D738EB"/>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30F7F"/>
    <w:rsid w:val="00E32580"/>
    <w:rsid w:val="00E41D04"/>
    <w:rsid w:val="00E46E19"/>
    <w:rsid w:val="00E51A28"/>
    <w:rsid w:val="00E64A9C"/>
    <w:rsid w:val="00E74AB0"/>
    <w:rsid w:val="00E752EC"/>
    <w:rsid w:val="00E81CED"/>
    <w:rsid w:val="00E91FA4"/>
    <w:rsid w:val="00EA0006"/>
    <w:rsid w:val="00EB39C8"/>
    <w:rsid w:val="00EC084D"/>
    <w:rsid w:val="00EC6F57"/>
    <w:rsid w:val="00EE3CE7"/>
    <w:rsid w:val="00EF1FB8"/>
    <w:rsid w:val="00EF2112"/>
    <w:rsid w:val="00EF239D"/>
    <w:rsid w:val="00F07862"/>
    <w:rsid w:val="00F1612B"/>
    <w:rsid w:val="00F23377"/>
    <w:rsid w:val="00F323B9"/>
    <w:rsid w:val="00F32AC0"/>
    <w:rsid w:val="00F4472F"/>
    <w:rsid w:val="00F5632E"/>
    <w:rsid w:val="00F61B5A"/>
    <w:rsid w:val="00F73468"/>
    <w:rsid w:val="00F81FF6"/>
    <w:rsid w:val="00F845D6"/>
    <w:rsid w:val="00F9378E"/>
    <w:rsid w:val="00FA5901"/>
    <w:rsid w:val="00FB294A"/>
    <w:rsid w:val="00FC0D92"/>
    <w:rsid w:val="00FC1E5C"/>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red" strokecolor="red"/>
    </o:shapedefaults>
    <o:shapelayout v:ext="edit">
      <o:idmap v:ext="edit" data="1"/>
      <o:rules v:ext="edit">
        <o:r id="V:Rule3" type="arc" idref="#_x0000_s1090"/>
        <o:r id="V:Rule7" type="arc" idref="#_x0000_s1087"/>
        <o:r id="V:Rule75" type="connector" idref="#_x0000_s1049"/>
        <o:r id="V:Rule76" type="connector" idref="#_x0000_s1157"/>
        <o:r id="V:Rule77" type="connector" idref="#_x0000_s1158"/>
        <o:r id="V:Rule78" type="connector" idref="#_x0000_s1088"/>
        <o:r id="V:Rule79" type="connector" idref="#_x0000_s1127"/>
        <o:r id="V:Rule80" type="connector" idref="#_x0000_s1055"/>
        <o:r id="V:Rule81" type="connector" idref="#_x0000_s1106"/>
        <o:r id="V:Rule82" type="connector" idref="#_x0000_s1149"/>
        <o:r id="V:Rule83" type="connector" idref="#_x0000_s1107"/>
        <o:r id="V:Rule84" type="connector" idref="#_x0000_s1129"/>
        <o:r id="V:Rule85" type="connector" idref="#_x0000_s1075"/>
        <o:r id="V:Rule86" type="connector" idref="#_x0000_s1077"/>
        <o:r id="V:Rule87" type="connector" idref="#_x0000_s1051"/>
        <o:r id="V:Rule88" type="connector" idref="#_x0000_s1173"/>
        <o:r id="V:Rule89" type="connector" idref="#_x0000_s1128"/>
        <o:r id="V:Rule90" type="connector" idref="#_x0000_s1105"/>
        <o:r id="V:Rule91" type="connector" idref="#_x0000_s1188"/>
        <o:r id="V:Rule92" type="connector" idref="#_x0000_s1109"/>
        <o:r id="V:Rule93" type="connector" idref="#_x0000_s1164"/>
        <o:r id="V:Rule94" type="connector" idref="#_x0000_s1080"/>
        <o:r id="V:Rule95" type="connector" idref="#_x0000_s1134"/>
        <o:r id="V:Rule96" type="connector" idref="#_x0000_s1180"/>
        <o:r id="V:Rule97" type="connector" idref="#_x0000_s1117"/>
        <o:r id="V:Rule98" type="connector" idref="#_x0000_s1135"/>
        <o:r id="V:Rule99" type="connector" idref="#_x0000_s1125"/>
        <o:r id="V:Rule100" type="connector" idref="#_x0000_s1198"/>
        <o:r id="V:Rule101" type="connector" idref="#_x0000_s1148"/>
        <o:r id="V:Rule102" type="connector" idref="#_x0000_s1076"/>
        <o:r id="V:Rule103" type="connector" idref="#_x0000_s1190"/>
        <o:r id="V:Rule104" type="connector" idref="#_x0000_s1062"/>
        <o:r id="V:Rule105" type="connector" idref="#_x0000_s1165"/>
        <o:r id="V:Rule106" type="connector" idref="#_x0000_s1060"/>
        <o:r id="V:Rule107" type="connector" idref="#_x0000_s1124"/>
        <o:r id="V:Rule108" type="connector" idref="#_x0000_s1050"/>
        <o:r id="V:Rule109" type="connector" idref="#_x0000_s1074"/>
        <o:r id="V:Rule110" type="connector" idref="#_x0000_s1182"/>
        <o:r id="V:Rule111" type="connector" idref="#_x0000_s1150"/>
        <o:r id="V:Rule112" type="connector" idref="#_x0000_s1207"/>
        <o:r id="V:Rule113" type="connector" idref="#_x0000_s1119"/>
        <o:r id="V:Rule114" type="connector" idref="#_x0000_s1196"/>
        <o:r id="V:Rule115" type="connector" idref="#_x0000_s1199"/>
        <o:r id="V:Rule116" type="connector" idref="#_x0000_s1063"/>
        <o:r id="V:Rule117" type="connector" idref="#_x0000_s1136"/>
        <o:r id="V:Rule118" type="connector" idref="#_x0000_s1130"/>
        <o:r id="V:Rule119" type="connector" idref="#_x0000_s1206"/>
        <o:r id="V:Rule120" type="connector" idref="#_x0000_s1111"/>
        <o:r id="V:Rule121" type="connector" idref="#_x0000_s1197"/>
        <o:r id="V:Rule122" type="connector" idref="#_x0000_s1163"/>
        <o:r id="V:Rule123" type="connector" idref="#_x0000_s1174"/>
        <o:r id="V:Rule124" type="connector" idref="#_x0000_s1110"/>
        <o:r id="V:Rule125" type="connector" idref="#_x0000_s1059"/>
        <o:r id="V:Rule126" type="connector" idref="#_x0000_s1205"/>
        <o:r id="V:Rule127" type="connector" idref="#_x0000_s1175"/>
        <o:r id="V:Rule128" type="connector" idref="#_x0000_s1171"/>
        <o:r id="V:Rule129" type="connector" idref="#_x0000_s1126"/>
        <o:r id="V:Rule130" type="connector" idref="#_x0000_s1081"/>
        <o:r id="V:Rule131" type="connector" idref="#_x0000_s1098"/>
        <o:r id="V:Rule132" type="connector" idref="#_x0000_s1056"/>
        <o:r id="V:Rule133" type="connector" idref="#_x0000_s1052"/>
        <o:r id="V:Rule134" type="connector" idref="#_x0000_s1053"/>
        <o:r id="V:Rule135" type="connector" idref="#_x0000_s1113"/>
        <o:r id="V:Rule136" type="connector" idref="#_x0000_s1147"/>
        <o:r id="V:Rule137" type="connector" idref="#_x0000_s1115"/>
        <o:r id="V:Rule138" type="connector" idref="#_x0000_s1078"/>
        <o:r id="V:Rule139" type="connector" idref="#_x0000_s1079"/>
        <o:r id="V:Rule140" type="connector" idref="#_x0000_s1061"/>
        <o:r id="V:Rule141" type="connector" idref="#_x0000_s1204"/>
        <o:r id="V:Rule142" type="connector" idref="#_x0000_s1156"/>
        <o:r id="V:Rule143" type="connector" idref="#_x0000_s1181"/>
        <o:r id="V:Rule144" type="connector" idref="#_x0000_s1073"/>
        <o:r id="V:Rule145" type="connector" idref="#_x0000_s1058"/>
        <o:r id="V:Rule146"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39</Pages>
  <Words>13682</Words>
  <Characters>80729</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17</cp:revision>
  <cp:lastPrinted>2016-10-05T11:19:00Z</cp:lastPrinted>
  <dcterms:created xsi:type="dcterms:W3CDTF">2016-10-25T07:24:00Z</dcterms:created>
  <dcterms:modified xsi:type="dcterms:W3CDTF">2016-12-02T10:28:00Z</dcterms:modified>
</cp:coreProperties>
</file>